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83" w:rsidRPr="00337F01" w:rsidRDefault="00DF2283" w:rsidP="00337F01">
      <w:pPr>
        <w:spacing w:line="600" w:lineRule="exact"/>
        <w:ind w:rightChars="-73" w:right="-153"/>
        <w:rPr>
          <w:rFonts w:eastAsia="楷体_GB2312"/>
          <w:shadow/>
          <w:sz w:val="24"/>
        </w:rPr>
      </w:pPr>
      <w:bookmarkStart w:id="0" w:name="OLE_LINK24"/>
      <w:bookmarkStart w:id="1" w:name="OLE_LINK25"/>
      <w:bookmarkStart w:id="2" w:name="OLE_LINK30"/>
      <w:bookmarkStart w:id="3" w:name="OLE_LINK31"/>
      <w:bookmarkStart w:id="4" w:name="OLE_LINK32"/>
      <w:bookmarkStart w:id="5" w:name="OLE_LINK44"/>
      <w:bookmarkStart w:id="6" w:name="OLE_LINK39"/>
      <w:bookmarkStart w:id="7" w:name="OLE_LINK40"/>
      <w:bookmarkStart w:id="8" w:name="OLE_LINK10"/>
      <w:bookmarkStart w:id="9" w:name="OLE_LINK11"/>
      <w:bookmarkStart w:id="10" w:name="OLE_LINK41"/>
      <w:bookmarkStart w:id="11" w:name="OLE_LINK42"/>
      <w:bookmarkStart w:id="12" w:name="OLE_LINK38"/>
      <w:bookmarkStart w:id="13" w:name="OLE_LINK43"/>
      <w:r>
        <w:rPr>
          <w:rFonts w:eastAsia="楷体_GB2312"/>
          <w:shadow/>
          <w:sz w:val="24"/>
        </w:rPr>
        <w:t>201</w:t>
      </w:r>
      <w:r w:rsidR="00576BA4">
        <w:rPr>
          <w:rFonts w:eastAsia="楷体_GB2312" w:hint="eastAsia"/>
          <w:shadow/>
          <w:sz w:val="24"/>
        </w:rPr>
        <w:t>6</w:t>
      </w:r>
      <w:r>
        <w:rPr>
          <w:rFonts w:eastAsia="楷体_GB2312"/>
          <w:shadow/>
          <w:sz w:val="24"/>
        </w:rPr>
        <w:t>年</w:t>
      </w:r>
      <w:r w:rsidR="00424F3D">
        <w:rPr>
          <w:rFonts w:eastAsia="楷体_GB2312" w:hint="eastAsia"/>
          <w:shadow/>
          <w:sz w:val="24"/>
        </w:rPr>
        <w:t>2</w:t>
      </w:r>
      <w:r>
        <w:rPr>
          <w:rFonts w:eastAsia="楷体_GB2312"/>
          <w:shadow/>
          <w:sz w:val="24"/>
        </w:rPr>
        <w:t>月</w:t>
      </w:r>
      <w:r w:rsidR="00E21D5F">
        <w:rPr>
          <w:rFonts w:eastAsia="楷体_GB2312" w:hint="eastAsia"/>
          <w:shadow/>
          <w:sz w:val="24"/>
        </w:rPr>
        <w:t>26</w:t>
      </w:r>
      <w:r>
        <w:rPr>
          <w:rFonts w:eastAsia="楷体_GB2312"/>
          <w:shadow/>
          <w:sz w:val="24"/>
        </w:rPr>
        <w:t>日</w:t>
      </w:r>
      <w:r>
        <w:rPr>
          <w:rFonts w:eastAsia="楷体_GB2312"/>
          <w:shadow/>
          <w:sz w:val="24"/>
        </w:rPr>
        <w:t xml:space="preserve">       </w:t>
      </w:r>
      <w:r>
        <w:rPr>
          <w:rFonts w:eastAsia="楷体_GB2312" w:hint="eastAsia"/>
          <w:shadow/>
          <w:sz w:val="24"/>
        </w:rPr>
        <w:t xml:space="preserve">  </w:t>
      </w:r>
      <w:r>
        <w:rPr>
          <w:rFonts w:eastAsia="楷体_GB2312"/>
          <w:shadow/>
          <w:sz w:val="24"/>
        </w:rPr>
        <w:t xml:space="preserve">   </w:t>
      </w:r>
      <w:r>
        <w:rPr>
          <w:rFonts w:eastAsia="楷体_GB2312"/>
          <w:shadow/>
          <w:sz w:val="24"/>
        </w:rPr>
        <w:t xml:space="preserve">　</w:t>
      </w:r>
      <w:r>
        <w:rPr>
          <w:rFonts w:eastAsia="楷体_GB2312"/>
          <w:shadow/>
          <w:sz w:val="24"/>
        </w:rPr>
        <w:t xml:space="preserve"> </w:t>
      </w:r>
      <w:r>
        <w:rPr>
          <w:rFonts w:eastAsia="楷体_GB2312" w:hint="eastAsia"/>
          <w:shadow/>
          <w:sz w:val="24"/>
        </w:rPr>
        <w:t xml:space="preserve">   </w:t>
      </w:r>
      <w:r>
        <w:rPr>
          <w:rFonts w:eastAsia="楷体_GB2312"/>
          <w:shadow/>
          <w:sz w:val="24"/>
        </w:rPr>
        <w:t xml:space="preserve">  </w:t>
      </w:r>
    </w:p>
    <w:p w:rsidR="00337F01" w:rsidRDefault="00337F01" w:rsidP="00337F01">
      <w:pPr>
        <w:spacing w:line="600" w:lineRule="exact"/>
        <w:ind w:rightChars="-73" w:right="-153"/>
        <w:jc w:val="center"/>
        <w:rPr>
          <w:rFonts w:eastAsia="黑体"/>
          <w:b/>
          <w:sz w:val="52"/>
        </w:rPr>
      </w:pPr>
    </w:p>
    <w:p w:rsidR="00DF2283" w:rsidRPr="00337F01" w:rsidRDefault="00337F01" w:rsidP="00337F01">
      <w:pPr>
        <w:spacing w:line="240" w:lineRule="auto"/>
        <w:ind w:rightChars="-73" w:right="-153"/>
        <w:jc w:val="center"/>
        <w:rPr>
          <w:rFonts w:ascii="黑体" w:eastAsia="黑体"/>
          <w:b/>
          <w:sz w:val="72"/>
          <w:szCs w:val="72"/>
        </w:rPr>
      </w:pPr>
      <w:r w:rsidRPr="00337F01">
        <w:rPr>
          <w:rFonts w:ascii="黑体" w:eastAsia="黑体" w:hint="eastAsia"/>
          <w:b/>
          <w:sz w:val="52"/>
          <w:szCs w:val="52"/>
        </w:rPr>
        <w:t>经贸</w:t>
      </w:r>
      <w:r w:rsidR="00DF2283" w:rsidRPr="00337F01">
        <w:rPr>
          <w:rFonts w:ascii="黑体" w:eastAsia="黑体" w:hint="eastAsia"/>
          <w:b/>
          <w:sz w:val="52"/>
          <w:szCs w:val="52"/>
        </w:rPr>
        <w:t>摩擦</w:t>
      </w:r>
      <w:r w:rsidR="00DF2283" w:rsidRPr="00337F01">
        <w:rPr>
          <w:rFonts w:ascii="黑体" w:eastAsia="黑体" w:hint="eastAsia"/>
          <w:b/>
          <w:sz w:val="72"/>
          <w:szCs w:val="72"/>
        </w:rPr>
        <w:t>预警信息</w:t>
      </w:r>
      <w:r w:rsidR="00DF2283" w:rsidRPr="00A95D64">
        <w:rPr>
          <w:rFonts w:ascii="华文隶书" w:eastAsia="华文隶书" w:hint="eastAsia"/>
          <w:b/>
          <w:i/>
          <w:sz w:val="72"/>
          <w:szCs w:val="72"/>
        </w:rPr>
        <w:t>快报</w:t>
      </w:r>
    </w:p>
    <w:p w:rsidR="00337F01" w:rsidRDefault="00337F01" w:rsidP="00337F01">
      <w:pPr>
        <w:spacing w:line="600" w:lineRule="exact"/>
        <w:ind w:rightChars="-73" w:right="-153"/>
        <w:jc w:val="center"/>
        <w:rPr>
          <w:rFonts w:eastAsia="黑体"/>
          <w:b/>
          <w:sz w:val="5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48624C" w:rsidRPr="0048624C" w:rsidRDefault="002B3BE2" w:rsidP="0048624C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37F01">
        <w:rPr>
          <w:rFonts w:ascii="黑体" w:eastAsia="黑体" w:hint="eastAsia"/>
          <w:i/>
          <w:sz w:val="32"/>
          <w:szCs w:val="32"/>
        </w:rPr>
        <w:t>贸促〔201</w:t>
      </w:r>
      <w:r w:rsidR="004C783F">
        <w:rPr>
          <w:rFonts w:ascii="黑体" w:eastAsia="黑体" w:hint="eastAsia"/>
          <w:i/>
          <w:sz w:val="32"/>
          <w:szCs w:val="32"/>
        </w:rPr>
        <w:t>6</w:t>
      </w:r>
      <w:r w:rsidRPr="00337F01">
        <w:rPr>
          <w:rFonts w:ascii="黑体" w:eastAsia="黑体" w:hint="eastAsia"/>
          <w:i/>
          <w:sz w:val="32"/>
          <w:szCs w:val="32"/>
        </w:rPr>
        <w:t>〕</w:t>
      </w:r>
      <w:r>
        <w:rPr>
          <w:rFonts w:ascii="黑体" w:eastAsia="黑体" w:hint="eastAsia"/>
          <w:i/>
          <w:sz w:val="32"/>
          <w:szCs w:val="32"/>
        </w:rPr>
        <w:t>0</w:t>
      </w:r>
      <w:r w:rsidR="00E21D5F">
        <w:rPr>
          <w:rFonts w:ascii="黑体" w:eastAsia="黑体" w:hint="eastAsia"/>
          <w:i/>
          <w:sz w:val="32"/>
          <w:szCs w:val="32"/>
        </w:rPr>
        <w:t>32</w:t>
      </w:r>
      <w:r w:rsidRPr="00337F01">
        <w:rPr>
          <w:rFonts w:ascii="黑体" w:eastAsia="黑体" w:hint="eastAsia"/>
          <w:i/>
          <w:sz w:val="32"/>
          <w:szCs w:val="32"/>
        </w:rPr>
        <w:t>号</w:t>
      </w:r>
      <w:r w:rsidRPr="00337F01">
        <w:rPr>
          <w:rFonts w:ascii="黑体" w:eastAsia="黑体" w:hint="eastAsia"/>
          <w:i/>
          <w:color w:val="FF0000"/>
          <w:sz w:val="32"/>
          <w:szCs w:val="32"/>
        </w:rPr>
        <w:t>预警</w:t>
      </w:r>
      <w:r w:rsidRPr="00337F01">
        <w:rPr>
          <w:rFonts w:ascii="黑体" w:eastAsia="黑体" w:hint="eastAsia"/>
          <w:i/>
          <w:sz w:val="32"/>
          <w:szCs w:val="32"/>
        </w:rPr>
        <w:t>信息</w:t>
      </w:r>
      <w:bookmarkStart w:id="14" w:name="OLE_LINK6"/>
      <w:r w:rsidR="0074117F" w:rsidRPr="0074117F">
        <w:rPr>
          <w:rFonts w:ascii="黑体" w:eastAsia="黑体" w:hint="eastAsia"/>
          <w:i/>
          <w:sz w:val="32"/>
          <w:szCs w:val="32"/>
        </w:rPr>
        <w:t>:</w:t>
      </w:r>
      <w:r w:rsidR="00E21D5F" w:rsidRPr="00E21D5F">
        <w:rPr>
          <w:rFonts w:ascii="仿宋_GB2312" w:eastAsia="仿宋_GB2312" w:hint="eastAsia"/>
          <w:sz w:val="32"/>
          <w:szCs w:val="32"/>
        </w:rPr>
        <w:t xml:space="preserve"> </w:t>
      </w:r>
      <w:r w:rsidR="00E21D5F">
        <w:rPr>
          <w:rFonts w:ascii="仿宋_GB2312" w:eastAsia="仿宋_GB2312" w:hint="eastAsia"/>
          <w:sz w:val="32"/>
          <w:szCs w:val="32"/>
        </w:rPr>
        <w:t>2月22日，台湾地区</w:t>
      </w:r>
      <w:r w:rsidR="00E21D5F" w:rsidRPr="0074117F">
        <w:rPr>
          <w:rFonts w:ascii="仿宋_GB2312" w:eastAsia="仿宋_GB2312" w:hint="eastAsia"/>
          <w:sz w:val="32"/>
          <w:szCs w:val="32"/>
        </w:rPr>
        <w:t>对原产于中国</w:t>
      </w:r>
      <w:r w:rsidR="00E21D5F">
        <w:rPr>
          <w:rFonts w:ascii="仿宋_GB2312" w:eastAsia="仿宋_GB2312" w:hint="eastAsia"/>
          <w:sz w:val="32"/>
          <w:szCs w:val="32"/>
        </w:rPr>
        <w:t>大陆</w:t>
      </w:r>
      <w:r w:rsidR="00E21D5F" w:rsidRPr="0074117F">
        <w:rPr>
          <w:rFonts w:ascii="仿宋_GB2312" w:eastAsia="仿宋_GB2312" w:hint="eastAsia"/>
          <w:sz w:val="32"/>
          <w:szCs w:val="32"/>
        </w:rPr>
        <w:t>的</w:t>
      </w:r>
      <w:r w:rsidR="00E21D5F" w:rsidRPr="004E4BB9">
        <w:rPr>
          <w:rFonts w:ascii="仿宋_GB2312" w:eastAsia="仿宋_GB2312" w:hint="eastAsia"/>
          <w:sz w:val="32"/>
          <w:szCs w:val="32"/>
        </w:rPr>
        <w:t>镀锌钢品及锌合金</w:t>
      </w:r>
      <w:proofErr w:type="gramStart"/>
      <w:r w:rsidR="00E21D5F" w:rsidRPr="004E4BB9">
        <w:rPr>
          <w:rFonts w:ascii="仿宋_GB2312" w:eastAsia="仿宋_GB2312" w:hint="eastAsia"/>
          <w:sz w:val="32"/>
          <w:szCs w:val="32"/>
        </w:rPr>
        <w:t>扁</w:t>
      </w:r>
      <w:proofErr w:type="gramEnd"/>
      <w:r w:rsidR="00E21D5F" w:rsidRPr="004E4BB9">
        <w:rPr>
          <w:rFonts w:ascii="仿宋_GB2312" w:eastAsia="仿宋_GB2312" w:hint="eastAsia"/>
          <w:sz w:val="32"/>
          <w:szCs w:val="32"/>
        </w:rPr>
        <w:t>轧钢品</w:t>
      </w:r>
      <w:r w:rsidR="00E21D5F" w:rsidRPr="0074117F">
        <w:rPr>
          <w:rFonts w:ascii="仿宋_GB2312" w:eastAsia="仿宋_GB2312" w:hint="eastAsia"/>
          <w:sz w:val="32"/>
          <w:szCs w:val="32"/>
        </w:rPr>
        <w:t>进行反倾销立案调查。涉案产品海关编码为</w:t>
      </w:r>
      <w:r w:rsidR="00E21D5F">
        <w:rPr>
          <w:rFonts w:ascii="仿宋_GB2312" w:eastAsia="仿宋_GB2312" w:hint="eastAsia"/>
          <w:sz w:val="32"/>
          <w:szCs w:val="32"/>
        </w:rPr>
        <w:t>72103000104、72103000202、72103000907、72104100003、72104900318、72104900327、72104900336、72104900416、72104900425、72104900434、72104900513、72104900522、72104900531、72104900611、72104900620、72104900639、72104900906、72106100115、72106100124、72106100133、72109090004、72122000006、72123000102、72123000200、72125090000、72259100005、72259200004、72259910005、72269910004、72269920002</w:t>
      </w:r>
      <w:r w:rsidR="00E21D5F" w:rsidRPr="0074117F">
        <w:rPr>
          <w:rFonts w:ascii="仿宋_GB2312" w:eastAsia="仿宋_GB2312" w:hint="eastAsia"/>
          <w:sz w:val="32"/>
          <w:szCs w:val="32"/>
        </w:rPr>
        <w:t>。本案的倾销调查期为2015年1月1日</w:t>
      </w:r>
      <w:r w:rsidR="00E21D5F">
        <w:rPr>
          <w:rFonts w:ascii="仿宋_GB2312" w:eastAsia="仿宋_GB2312" w:hint="eastAsia"/>
          <w:sz w:val="32"/>
          <w:szCs w:val="32"/>
        </w:rPr>
        <w:t>-</w:t>
      </w:r>
      <w:r w:rsidR="00E21D5F" w:rsidRPr="0074117F">
        <w:rPr>
          <w:rFonts w:ascii="仿宋_GB2312" w:eastAsia="仿宋_GB2312" w:hint="eastAsia"/>
          <w:sz w:val="32"/>
          <w:szCs w:val="32"/>
        </w:rPr>
        <w:t>12月31日，损害调查期为2012年1月1日</w:t>
      </w:r>
      <w:r w:rsidR="00E21D5F">
        <w:rPr>
          <w:rFonts w:ascii="仿宋_GB2312" w:eastAsia="仿宋_GB2312" w:hint="eastAsia"/>
          <w:sz w:val="32"/>
          <w:szCs w:val="32"/>
        </w:rPr>
        <w:t>-</w:t>
      </w:r>
      <w:r w:rsidR="00E21D5F" w:rsidRPr="0074117F">
        <w:rPr>
          <w:rFonts w:ascii="仿宋_GB2312" w:eastAsia="仿宋_GB2312" w:hint="eastAsia"/>
          <w:sz w:val="32"/>
          <w:szCs w:val="32"/>
        </w:rPr>
        <w:t>2015年12月31</w:t>
      </w:r>
      <w:r w:rsidR="00E21D5F">
        <w:rPr>
          <w:rFonts w:ascii="仿宋_GB2312" w:eastAsia="仿宋_GB2312" w:hint="eastAsia"/>
          <w:sz w:val="32"/>
          <w:szCs w:val="32"/>
        </w:rPr>
        <w:t>日，涉案金额约2亿美元。</w:t>
      </w:r>
    </w:p>
    <w:p w:rsidR="0048624C" w:rsidRPr="00DE0EF2" w:rsidRDefault="000A4B15" w:rsidP="0048624C">
      <w:pPr>
        <w:adjustRightInd w:val="0"/>
        <w:snapToGrid w:val="0"/>
        <w:spacing w:line="312" w:lineRule="auto"/>
        <w:ind w:firstLineChars="200" w:firstLine="640"/>
        <w:rPr>
          <w:rFonts w:hAnsi="Arial"/>
          <w:sz w:val="24"/>
        </w:rPr>
      </w:pPr>
      <w:r w:rsidRPr="00337F01">
        <w:rPr>
          <w:rFonts w:ascii="黑体" w:eastAsia="黑体" w:hint="eastAsia"/>
          <w:i/>
          <w:sz w:val="32"/>
          <w:szCs w:val="32"/>
        </w:rPr>
        <w:t>贸促〔201</w:t>
      </w:r>
      <w:r>
        <w:rPr>
          <w:rFonts w:ascii="黑体" w:eastAsia="黑体" w:hint="eastAsia"/>
          <w:i/>
          <w:sz w:val="32"/>
          <w:szCs w:val="32"/>
        </w:rPr>
        <w:t>6</w:t>
      </w:r>
      <w:r w:rsidRPr="00337F01">
        <w:rPr>
          <w:rFonts w:ascii="黑体" w:eastAsia="黑体" w:hint="eastAsia"/>
          <w:i/>
          <w:sz w:val="32"/>
          <w:szCs w:val="32"/>
        </w:rPr>
        <w:t>〕</w:t>
      </w:r>
      <w:r>
        <w:rPr>
          <w:rFonts w:ascii="黑体" w:eastAsia="黑体" w:hint="eastAsia"/>
          <w:i/>
          <w:sz w:val="32"/>
          <w:szCs w:val="32"/>
        </w:rPr>
        <w:t>0</w:t>
      </w:r>
      <w:r w:rsidR="0048624C">
        <w:rPr>
          <w:rFonts w:ascii="黑体" w:eastAsia="黑体" w:hint="eastAsia"/>
          <w:i/>
          <w:sz w:val="32"/>
          <w:szCs w:val="32"/>
        </w:rPr>
        <w:t>3</w:t>
      </w:r>
      <w:r w:rsidR="00E21D5F">
        <w:rPr>
          <w:rFonts w:ascii="黑体" w:eastAsia="黑体" w:hint="eastAsia"/>
          <w:i/>
          <w:sz w:val="32"/>
          <w:szCs w:val="32"/>
        </w:rPr>
        <w:t>3</w:t>
      </w:r>
      <w:r w:rsidRPr="00337F01">
        <w:rPr>
          <w:rFonts w:ascii="黑体" w:eastAsia="黑体" w:hint="eastAsia"/>
          <w:i/>
          <w:sz w:val="32"/>
          <w:szCs w:val="32"/>
        </w:rPr>
        <w:t>号</w:t>
      </w:r>
      <w:r w:rsidRPr="00337F01">
        <w:rPr>
          <w:rFonts w:ascii="黑体" w:eastAsia="黑体" w:hint="eastAsia"/>
          <w:i/>
          <w:color w:val="FF0000"/>
          <w:sz w:val="32"/>
          <w:szCs w:val="32"/>
        </w:rPr>
        <w:t>预警</w:t>
      </w:r>
      <w:r w:rsidRPr="00337F01">
        <w:rPr>
          <w:rFonts w:ascii="黑体" w:eastAsia="黑体" w:hint="eastAsia"/>
          <w:i/>
          <w:sz w:val="32"/>
          <w:szCs w:val="32"/>
        </w:rPr>
        <w:t>信息</w:t>
      </w:r>
      <w:r w:rsidRPr="0074117F">
        <w:rPr>
          <w:rFonts w:ascii="黑体" w:eastAsia="黑体" w:hint="eastAsia"/>
          <w:i/>
          <w:sz w:val="32"/>
          <w:szCs w:val="32"/>
        </w:rPr>
        <w:t>:</w:t>
      </w:r>
      <w:r w:rsidRPr="000A4B15">
        <w:rPr>
          <w:color w:val="000000"/>
        </w:rPr>
        <w:t xml:space="preserve"> </w:t>
      </w:r>
      <w:r w:rsidR="0048624C" w:rsidRPr="0048624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="0048624C" w:rsidRPr="004862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E21D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22</w:t>
      </w:r>
      <w:r w:rsidR="0048624C" w:rsidRPr="004862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</w:t>
      </w:r>
      <w:r w:rsidR="00E21D5F">
        <w:rPr>
          <w:rFonts w:ascii="仿宋_GB2312" w:eastAsia="仿宋_GB2312" w:hint="eastAsia"/>
          <w:sz w:val="32"/>
          <w:szCs w:val="32"/>
        </w:rPr>
        <w:t>台湾地区</w:t>
      </w:r>
      <w:r w:rsidR="00E21D5F" w:rsidRPr="0074117F">
        <w:rPr>
          <w:rFonts w:ascii="仿宋_GB2312" w:eastAsia="仿宋_GB2312" w:hint="eastAsia"/>
          <w:sz w:val="32"/>
          <w:szCs w:val="32"/>
        </w:rPr>
        <w:t>对原产于中国</w:t>
      </w:r>
      <w:r w:rsidR="00E21D5F">
        <w:rPr>
          <w:rFonts w:ascii="仿宋_GB2312" w:eastAsia="仿宋_GB2312" w:hint="eastAsia"/>
          <w:sz w:val="32"/>
          <w:szCs w:val="32"/>
        </w:rPr>
        <w:t>大陆</w:t>
      </w:r>
      <w:r w:rsidR="00E21D5F" w:rsidRPr="0074117F">
        <w:rPr>
          <w:rFonts w:ascii="仿宋_GB2312" w:eastAsia="仿宋_GB2312" w:hint="eastAsia"/>
          <w:sz w:val="32"/>
          <w:szCs w:val="32"/>
        </w:rPr>
        <w:t>的</w:t>
      </w:r>
      <w:r w:rsidR="00E21D5F" w:rsidRPr="004E4BB9">
        <w:rPr>
          <w:rFonts w:ascii="仿宋_GB2312" w:eastAsia="仿宋_GB2312" w:hint="eastAsia"/>
          <w:sz w:val="32"/>
          <w:szCs w:val="32"/>
        </w:rPr>
        <w:t>碳钢钢板</w:t>
      </w:r>
      <w:r w:rsidR="00E21D5F">
        <w:rPr>
          <w:rFonts w:ascii="仿宋_GB2312" w:eastAsia="仿宋_GB2312" w:hint="eastAsia"/>
          <w:sz w:val="32"/>
          <w:szCs w:val="32"/>
        </w:rPr>
        <w:t>产品</w:t>
      </w:r>
      <w:r w:rsidR="00E21D5F" w:rsidRPr="0074117F">
        <w:rPr>
          <w:rFonts w:ascii="仿宋_GB2312" w:eastAsia="仿宋_GB2312" w:hint="eastAsia"/>
          <w:sz w:val="32"/>
          <w:szCs w:val="32"/>
        </w:rPr>
        <w:t>进行反倾销立案调查。涉案产品海关编码为7208</w:t>
      </w:r>
      <w:r w:rsidR="00E21D5F">
        <w:rPr>
          <w:rFonts w:ascii="仿宋_GB2312" w:eastAsia="仿宋_GB2312" w:hint="eastAsia"/>
          <w:sz w:val="32"/>
          <w:szCs w:val="32"/>
        </w:rPr>
        <w:t>51</w:t>
      </w:r>
      <w:r w:rsidR="00E21D5F" w:rsidRPr="0074117F">
        <w:rPr>
          <w:rFonts w:ascii="仿宋_GB2312" w:eastAsia="仿宋_GB2312" w:hint="eastAsia"/>
          <w:sz w:val="32"/>
          <w:szCs w:val="32"/>
        </w:rPr>
        <w:t>10</w:t>
      </w:r>
      <w:r w:rsidR="00E21D5F">
        <w:rPr>
          <w:rFonts w:ascii="仿宋_GB2312" w:eastAsia="仿宋_GB2312" w:hint="eastAsia"/>
          <w:sz w:val="32"/>
          <w:szCs w:val="32"/>
        </w:rPr>
        <w:t>1</w:t>
      </w:r>
      <w:r w:rsidR="00E21D5F" w:rsidRPr="0074117F">
        <w:rPr>
          <w:rFonts w:ascii="仿宋_GB2312" w:eastAsia="仿宋_GB2312" w:hint="eastAsia"/>
          <w:sz w:val="32"/>
          <w:szCs w:val="32"/>
        </w:rPr>
        <w:t>00、7208</w:t>
      </w:r>
      <w:r w:rsidR="00E21D5F">
        <w:rPr>
          <w:rFonts w:ascii="仿宋_GB2312" w:eastAsia="仿宋_GB2312" w:hint="eastAsia"/>
          <w:sz w:val="32"/>
          <w:szCs w:val="32"/>
        </w:rPr>
        <w:t>51</w:t>
      </w:r>
      <w:r w:rsidR="00E21D5F" w:rsidRPr="0074117F">
        <w:rPr>
          <w:rFonts w:ascii="仿宋_GB2312" w:eastAsia="仿宋_GB2312" w:hint="eastAsia"/>
          <w:sz w:val="32"/>
          <w:szCs w:val="32"/>
        </w:rPr>
        <w:t>10</w:t>
      </w:r>
      <w:r w:rsidR="00E21D5F">
        <w:rPr>
          <w:rFonts w:ascii="仿宋_GB2312" w:eastAsia="仿宋_GB2312" w:hint="eastAsia"/>
          <w:sz w:val="32"/>
          <w:szCs w:val="32"/>
        </w:rPr>
        <w:t>208</w:t>
      </w:r>
      <w:r w:rsidR="00E21D5F" w:rsidRPr="0074117F">
        <w:rPr>
          <w:rFonts w:ascii="仿宋_GB2312" w:eastAsia="仿宋_GB2312" w:hint="eastAsia"/>
          <w:sz w:val="32"/>
          <w:szCs w:val="32"/>
        </w:rPr>
        <w:t>、7208</w:t>
      </w:r>
      <w:r w:rsidR="00E21D5F">
        <w:rPr>
          <w:rFonts w:ascii="仿宋_GB2312" w:eastAsia="仿宋_GB2312" w:hint="eastAsia"/>
          <w:sz w:val="32"/>
          <w:szCs w:val="32"/>
        </w:rPr>
        <w:t>51</w:t>
      </w:r>
      <w:r w:rsidR="00E21D5F" w:rsidRPr="0074117F">
        <w:rPr>
          <w:rFonts w:ascii="仿宋_GB2312" w:eastAsia="仿宋_GB2312" w:hint="eastAsia"/>
          <w:sz w:val="32"/>
          <w:szCs w:val="32"/>
        </w:rPr>
        <w:t>10</w:t>
      </w:r>
      <w:r w:rsidR="00E21D5F">
        <w:rPr>
          <w:rFonts w:ascii="仿宋_GB2312" w:eastAsia="仿宋_GB2312" w:hint="eastAsia"/>
          <w:sz w:val="32"/>
          <w:szCs w:val="32"/>
        </w:rPr>
        <w:t>306</w:t>
      </w:r>
      <w:r w:rsidR="00E21D5F" w:rsidRPr="0074117F">
        <w:rPr>
          <w:rFonts w:ascii="仿宋_GB2312" w:eastAsia="仿宋_GB2312" w:hint="eastAsia"/>
          <w:sz w:val="32"/>
          <w:szCs w:val="32"/>
        </w:rPr>
        <w:t>、7208</w:t>
      </w:r>
      <w:r w:rsidR="00E21D5F">
        <w:rPr>
          <w:rFonts w:ascii="仿宋_GB2312" w:eastAsia="仿宋_GB2312" w:hint="eastAsia"/>
          <w:sz w:val="32"/>
          <w:szCs w:val="32"/>
        </w:rPr>
        <w:t>512</w:t>
      </w:r>
      <w:r w:rsidR="00E21D5F" w:rsidRPr="0074117F">
        <w:rPr>
          <w:rFonts w:ascii="仿宋_GB2312" w:eastAsia="仿宋_GB2312" w:hint="eastAsia"/>
          <w:sz w:val="32"/>
          <w:szCs w:val="32"/>
        </w:rPr>
        <w:t>0</w:t>
      </w:r>
      <w:r w:rsidR="00E21D5F">
        <w:rPr>
          <w:rFonts w:ascii="仿宋_GB2312" w:eastAsia="仿宋_GB2312" w:hint="eastAsia"/>
          <w:sz w:val="32"/>
          <w:szCs w:val="32"/>
        </w:rPr>
        <w:t>000</w:t>
      </w:r>
      <w:r w:rsidR="00E21D5F" w:rsidRPr="0074117F">
        <w:rPr>
          <w:rFonts w:ascii="仿宋_GB2312" w:eastAsia="仿宋_GB2312" w:hint="eastAsia"/>
          <w:sz w:val="32"/>
          <w:szCs w:val="32"/>
        </w:rPr>
        <w:t>、7208</w:t>
      </w:r>
      <w:r w:rsidR="00E21D5F">
        <w:rPr>
          <w:rFonts w:ascii="仿宋_GB2312" w:eastAsia="仿宋_GB2312" w:hint="eastAsia"/>
          <w:sz w:val="32"/>
          <w:szCs w:val="32"/>
        </w:rPr>
        <w:t>5130008</w:t>
      </w:r>
      <w:r w:rsidR="00E21D5F" w:rsidRPr="0074117F">
        <w:rPr>
          <w:rFonts w:ascii="仿宋_GB2312" w:eastAsia="仿宋_GB2312" w:hint="eastAsia"/>
          <w:sz w:val="32"/>
          <w:szCs w:val="32"/>
        </w:rPr>
        <w:t>、7208</w:t>
      </w:r>
      <w:r w:rsidR="00E21D5F">
        <w:rPr>
          <w:rFonts w:ascii="仿宋_GB2312" w:eastAsia="仿宋_GB2312" w:hint="eastAsia"/>
          <w:sz w:val="32"/>
          <w:szCs w:val="32"/>
        </w:rPr>
        <w:t>5140006</w:t>
      </w:r>
      <w:r w:rsidR="00E21D5F" w:rsidRPr="0074117F">
        <w:rPr>
          <w:rFonts w:ascii="仿宋_GB2312" w:eastAsia="仿宋_GB2312" w:hint="eastAsia"/>
          <w:sz w:val="32"/>
          <w:szCs w:val="32"/>
        </w:rPr>
        <w:t>、7208</w:t>
      </w:r>
      <w:r w:rsidR="00E21D5F">
        <w:rPr>
          <w:rFonts w:ascii="仿宋_GB2312" w:eastAsia="仿宋_GB2312" w:hint="eastAsia"/>
          <w:sz w:val="32"/>
          <w:szCs w:val="32"/>
        </w:rPr>
        <w:t>5210207</w:t>
      </w:r>
      <w:r w:rsidR="00E21D5F" w:rsidRPr="0074117F">
        <w:rPr>
          <w:rFonts w:ascii="仿宋_GB2312" w:eastAsia="仿宋_GB2312" w:hint="eastAsia"/>
          <w:sz w:val="32"/>
          <w:szCs w:val="32"/>
        </w:rPr>
        <w:t>、7208</w:t>
      </w:r>
      <w:r w:rsidR="00E21D5F">
        <w:rPr>
          <w:rFonts w:ascii="仿宋_GB2312" w:eastAsia="仿宋_GB2312" w:hint="eastAsia"/>
          <w:sz w:val="32"/>
          <w:szCs w:val="32"/>
        </w:rPr>
        <w:t>5220205</w:t>
      </w:r>
      <w:r w:rsidR="00E21D5F" w:rsidRPr="0074117F">
        <w:rPr>
          <w:rFonts w:ascii="仿宋_GB2312" w:eastAsia="仿宋_GB2312" w:hint="eastAsia"/>
          <w:sz w:val="32"/>
          <w:szCs w:val="32"/>
        </w:rPr>
        <w:t>、7208</w:t>
      </w:r>
      <w:r w:rsidR="00E21D5F">
        <w:rPr>
          <w:rFonts w:ascii="仿宋_GB2312" w:eastAsia="仿宋_GB2312" w:hint="eastAsia"/>
          <w:sz w:val="32"/>
          <w:szCs w:val="32"/>
        </w:rPr>
        <w:t>5230203</w:t>
      </w:r>
      <w:r w:rsidR="00E21D5F" w:rsidRPr="0074117F">
        <w:rPr>
          <w:rFonts w:ascii="仿宋_GB2312" w:eastAsia="仿宋_GB2312" w:hint="eastAsia"/>
          <w:sz w:val="32"/>
          <w:szCs w:val="32"/>
        </w:rPr>
        <w:t>、7208</w:t>
      </w:r>
      <w:r w:rsidR="00E21D5F">
        <w:rPr>
          <w:rFonts w:ascii="仿宋_GB2312" w:eastAsia="仿宋_GB2312" w:hint="eastAsia"/>
          <w:sz w:val="32"/>
          <w:szCs w:val="32"/>
        </w:rPr>
        <w:t>9010005</w:t>
      </w:r>
      <w:r w:rsidR="00E21D5F" w:rsidRPr="0074117F">
        <w:rPr>
          <w:rFonts w:ascii="仿宋_GB2312" w:eastAsia="仿宋_GB2312" w:hint="eastAsia"/>
          <w:sz w:val="32"/>
          <w:szCs w:val="32"/>
        </w:rPr>
        <w:t>、7208</w:t>
      </w:r>
      <w:r w:rsidR="00E21D5F">
        <w:rPr>
          <w:rFonts w:ascii="仿宋_GB2312" w:eastAsia="仿宋_GB2312" w:hint="eastAsia"/>
          <w:sz w:val="32"/>
          <w:szCs w:val="32"/>
        </w:rPr>
        <w:t>9021002</w:t>
      </w:r>
      <w:r w:rsidR="00E21D5F" w:rsidRPr="0074117F">
        <w:rPr>
          <w:rFonts w:ascii="仿宋_GB2312" w:eastAsia="仿宋_GB2312" w:hint="eastAsia"/>
          <w:sz w:val="32"/>
          <w:szCs w:val="32"/>
        </w:rPr>
        <w:t>、7208</w:t>
      </w:r>
      <w:r w:rsidR="00E21D5F">
        <w:rPr>
          <w:rFonts w:ascii="仿宋_GB2312" w:eastAsia="仿宋_GB2312" w:hint="eastAsia"/>
          <w:sz w:val="32"/>
          <w:szCs w:val="32"/>
        </w:rPr>
        <w:t>9030001</w:t>
      </w:r>
      <w:r w:rsidR="00E21D5F" w:rsidRPr="0074117F">
        <w:rPr>
          <w:rFonts w:ascii="仿宋_GB2312" w:eastAsia="仿宋_GB2312" w:hint="eastAsia"/>
          <w:sz w:val="32"/>
          <w:szCs w:val="32"/>
        </w:rPr>
        <w:t>、7208</w:t>
      </w:r>
      <w:r w:rsidR="00E21D5F">
        <w:rPr>
          <w:rFonts w:ascii="仿宋_GB2312" w:eastAsia="仿宋_GB2312" w:hint="eastAsia"/>
          <w:sz w:val="32"/>
          <w:szCs w:val="32"/>
        </w:rPr>
        <w:t>9040009</w:t>
      </w:r>
      <w:r w:rsidR="00E21D5F" w:rsidRPr="0074117F">
        <w:rPr>
          <w:rFonts w:ascii="仿宋_GB2312" w:eastAsia="仿宋_GB2312" w:hint="eastAsia"/>
          <w:sz w:val="32"/>
          <w:szCs w:val="32"/>
        </w:rPr>
        <w:t>、7211</w:t>
      </w:r>
      <w:r w:rsidR="00E21D5F">
        <w:rPr>
          <w:rFonts w:ascii="仿宋_GB2312" w:eastAsia="仿宋_GB2312" w:hint="eastAsia"/>
          <w:sz w:val="32"/>
          <w:szCs w:val="32"/>
        </w:rPr>
        <w:t>1410101</w:t>
      </w:r>
      <w:r w:rsidR="00E21D5F" w:rsidRPr="0074117F">
        <w:rPr>
          <w:rFonts w:ascii="仿宋_GB2312" w:eastAsia="仿宋_GB2312" w:hint="eastAsia"/>
          <w:sz w:val="32"/>
          <w:szCs w:val="32"/>
        </w:rPr>
        <w:t>、7211</w:t>
      </w:r>
      <w:r w:rsidR="00E21D5F">
        <w:rPr>
          <w:rFonts w:ascii="仿宋_GB2312" w:eastAsia="仿宋_GB2312" w:hint="eastAsia"/>
          <w:sz w:val="32"/>
          <w:szCs w:val="32"/>
        </w:rPr>
        <w:t>1410209</w:t>
      </w:r>
      <w:r w:rsidR="00E21D5F" w:rsidRPr="0074117F">
        <w:rPr>
          <w:rFonts w:ascii="仿宋_GB2312" w:eastAsia="仿宋_GB2312" w:hint="eastAsia"/>
          <w:sz w:val="32"/>
          <w:szCs w:val="32"/>
        </w:rPr>
        <w:t>、7211</w:t>
      </w:r>
      <w:r w:rsidR="00E21D5F">
        <w:rPr>
          <w:rFonts w:ascii="仿宋_GB2312" w:eastAsia="仿宋_GB2312" w:hint="eastAsia"/>
          <w:sz w:val="32"/>
          <w:szCs w:val="32"/>
        </w:rPr>
        <w:t>1410307</w:t>
      </w:r>
      <w:r w:rsidR="00E21D5F" w:rsidRPr="0074117F">
        <w:rPr>
          <w:rFonts w:ascii="仿宋_GB2312" w:eastAsia="仿宋_GB2312" w:hint="eastAsia"/>
          <w:sz w:val="32"/>
          <w:szCs w:val="32"/>
        </w:rPr>
        <w:t>、7211</w:t>
      </w:r>
      <w:r w:rsidR="00E21D5F">
        <w:rPr>
          <w:rFonts w:ascii="仿宋_GB2312" w:eastAsia="仿宋_GB2312" w:hint="eastAsia"/>
          <w:sz w:val="32"/>
          <w:szCs w:val="32"/>
        </w:rPr>
        <w:t>1420207</w:t>
      </w:r>
      <w:r w:rsidR="00E21D5F" w:rsidRPr="0074117F">
        <w:rPr>
          <w:rFonts w:ascii="仿宋_GB2312" w:eastAsia="仿宋_GB2312" w:hint="eastAsia"/>
          <w:sz w:val="32"/>
          <w:szCs w:val="32"/>
        </w:rPr>
        <w:t>、7211</w:t>
      </w:r>
      <w:r w:rsidR="00E21D5F">
        <w:rPr>
          <w:rFonts w:ascii="仿宋_GB2312" w:eastAsia="仿宋_GB2312" w:hint="eastAsia"/>
          <w:sz w:val="32"/>
          <w:szCs w:val="32"/>
        </w:rPr>
        <w:t>1430205</w:t>
      </w:r>
      <w:r w:rsidR="00E21D5F" w:rsidRPr="0074117F">
        <w:rPr>
          <w:rFonts w:ascii="仿宋_GB2312" w:eastAsia="仿宋_GB2312" w:hint="eastAsia"/>
          <w:sz w:val="32"/>
          <w:szCs w:val="32"/>
        </w:rPr>
        <w:t>、7211</w:t>
      </w:r>
      <w:r w:rsidR="00E21D5F">
        <w:rPr>
          <w:rFonts w:ascii="仿宋_GB2312" w:eastAsia="仿宋_GB2312" w:hint="eastAsia"/>
          <w:sz w:val="32"/>
          <w:szCs w:val="32"/>
        </w:rPr>
        <w:t>1440203</w:t>
      </w:r>
      <w:r w:rsidR="00E21D5F" w:rsidRPr="0074117F">
        <w:rPr>
          <w:rFonts w:ascii="仿宋_GB2312" w:eastAsia="仿宋_GB2312" w:hint="eastAsia"/>
          <w:sz w:val="32"/>
          <w:szCs w:val="32"/>
        </w:rPr>
        <w:t>、</w:t>
      </w:r>
      <w:r w:rsidR="00E21D5F">
        <w:rPr>
          <w:rFonts w:ascii="仿宋_GB2312" w:eastAsia="仿宋_GB2312" w:hint="eastAsia"/>
          <w:sz w:val="32"/>
          <w:szCs w:val="32"/>
        </w:rPr>
        <w:lastRenderedPageBreak/>
        <w:t>72254000908</w:t>
      </w:r>
      <w:r w:rsidR="00E21D5F" w:rsidRPr="0074117F">
        <w:rPr>
          <w:rFonts w:ascii="仿宋_GB2312" w:eastAsia="仿宋_GB2312" w:hint="eastAsia"/>
          <w:sz w:val="32"/>
          <w:szCs w:val="32"/>
        </w:rPr>
        <w:t>。本案的倾销调查期为2015年1月1日</w:t>
      </w:r>
      <w:r w:rsidR="00E21D5F">
        <w:rPr>
          <w:rFonts w:ascii="仿宋_GB2312" w:eastAsia="仿宋_GB2312" w:hint="eastAsia"/>
          <w:sz w:val="32"/>
          <w:szCs w:val="32"/>
        </w:rPr>
        <w:t>-</w:t>
      </w:r>
      <w:r w:rsidR="00E21D5F" w:rsidRPr="0074117F">
        <w:rPr>
          <w:rFonts w:ascii="仿宋_GB2312" w:eastAsia="仿宋_GB2312" w:hint="eastAsia"/>
          <w:sz w:val="32"/>
          <w:szCs w:val="32"/>
        </w:rPr>
        <w:t>12月31日，损害调查期为2012年1月1日</w:t>
      </w:r>
      <w:r w:rsidR="00E21D5F">
        <w:rPr>
          <w:rFonts w:ascii="仿宋_GB2312" w:eastAsia="仿宋_GB2312" w:hint="eastAsia"/>
          <w:sz w:val="32"/>
          <w:szCs w:val="32"/>
        </w:rPr>
        <w:t>-</w:t>
      </w:r>
      <w:r w:rsidR="00E21D5F" w:rsidRPr="0074117F">
        <w:rPr>
          <w:rFonts w:ascii="仿宋_GB2312" w:eastAsia="仿宋_GB2312" w:hint="eastAsia"/>
          <w:sz w:val="32"/>
          <w:szCs w:val="32"/>
        </w:rPr>
        <w:t>2015年12月31日。</w:t>
      </w:r>
    </w:p>
    <w:p w:rsidR="00E21D5F" w:rsidRPr="00E21D5F" w:rsidRDefault="00E21D5F" w:rsidP="00E21D5F">
      <w:pPr>
        <w:shd w:val="clear" w:color="auto" w:fill="FFFFFF"/>
        <w:spacing w:line="315" w:lineRule="atLeast"/>
        <w:ind w:firstLine="480"/>
        <w:rPr>
          <w:rFonts w:ascii="仿宋_GB2312" w:eastAsia="仿宋_GB2312"/>
          <w:sz w:val="32"/>
          <w:szCs w:val="32"/>
        </w:rPr>
      </w:pPr>
      <w:r w:rsidRPr="00337F01">
        <w:rPr>
          <w:rFonts w:ascii="黑体" w:eastAsia="黑体" w:hint="eastAsia"/>
          <w:i/>
          <w:sz w:val="32"/>
          <w:szCs w:val="32"/>
        </w:rPr>
        <w:t>贸促〔201</w:t>
      </w:r>
      <w:r>
        <w:rPr>
          <w:rFonts w:ascii="黑体" w:eastAsia="黑体" w:hint="eastAsia"/>
          <w:i/>
          <w:sz w:val="32"/>
          <w:szCs w:val="32"/>
        </w:rPr>
        <w:t>6</w:t>
      </w:r>
      <w:r w:rsidRPr="00337F01">
        <w:rPr>
          <w:rFonts w:ascii="黑体" w:eastAsia="黑体" w:hint="eastAsia"/>
          <w:i/>
          <w:sz w:val="32"/>
          <w:szCs w:val="32"/>
        </w:rPr>
        <w:t>〕</w:t>
      </w:r>
      <w:r>
        <w:rPr>
          <w:rFonts w:ascii="黑体" w:eastAsia="黑体" w:hint="eastAsia"/>
          <w:i/>
          <w:sz w:val="32"/>
          <w:szCs w:val="32"/>
        </w:rPr>
        <w:t>034</w:t>
      </w:r>
      <w:r w:rsidRPr="00337F01">
        <w:rPr>
          <w:rFonts w:ascii="黑体" w:eastAsia="黑体" w:hint="eastAsia"/>
          <w:i/>
          <w:sz w:val="32"/>
          <w:szCs w:val="32"/>
        </w:rPr>
        <w:t>号</w:t>
      </w:r>
      <w:r w:rsidRPr="00337F01">
        <w:rPr>
          <w:rFonts w:ascii="黑体" w:eastAsia="黑体" w:hint="eastAsia"/>
          <w:i/>
          <w:color w:val="FF0000"/>
          <w:sz w:val="32"/>
          <w:szCs w:val="32"/>
        </w:rPr>
        <w:t>预警</w:t>
      </w:r>
      <w:r w:rsidRPr="00337F01">
        <w:rPr>
          <w:rFonts w:ascii="黑体" w:eastAsia="黑体" w:hint="eastAsia"/>
          <w:i/>
          <w:sz w:val="32"/>
          <w:szCs w:val="32"/>
        </w:rPr>
        <w:t>信息</w:t>
      </w:r>
      <w:r w:rsidRPr="0074117F">
        <w:rPr>
          <w:rFonts w:ascii="黑体" w:eastAsia="黑体" w:hint="eastAsia"/>
          <w:i/>
          <w:sz w:val="32"/>
          <w:szCs w:val="32"/>
        </w:rPr>
        <w:t>:</w:t>
      </w:r>
      <w:r w:rsidRPr="00E21D5F">
        <w:rPr>
          <w:rFonts w:ascii="仿宋_GB2312" w:eastAsia="仿宋_GB2312"/>
          <w:sz w:val="32"/>
          <w:szCs w:val="32"/>
        </w:rPr>
        <w:t>2016</w:t>
      </w:r>
      <w:r w:rsidRPr="00E21D5F">
        <w:rPr>
          <w:rFonts w:ascii="仿宋_GB2312" w:eastAsia="仿宋_GB2312" w:hint="eastAsia"/>
          <w:sz w:val="32"/>
          <w:szCs w:val="32"/>
        </w:rPr>
        <w:t>年</w:t>
      </w:r>
      <w:r w:rsidRPr="00E21D5F">
        <w:rPr>
          <w:rFonts w:ascii="仿宋_GB2312" w:eastAsia="仿宋_GB2312"/>
          <w:sz w:val="32"/>
          <w:szCs w:val="32"/>
        </w:rPr>
        <w:t>2</w:t>
      </w:r>
      <w:r w:rsidRPr="00E21D5F">
        <w:rPr>
          <w:rFonts w:ascii="仿宋_GB2312" w:eastAsia="仿宋_GB2312" w:hint="eastAsia"/>
          <w:sz w:val="32"/>
          <w:szCs w:val="32"/>
        </w:rPr>
        <w:t>月</w:t>
      </w:r>
      <w:r w:rsidRPr="00E21D5F">
        <w:rPr>
          <w:rFonts w:ascii="仿宋_GB2312" w:eastAsia="仿宋_GB2312"/>
          <w:sz w:val="32"/>
          <w:szCs w:val="32"/>
        </w:rPr>
        <w:t>19</w:t>
      </w:r>
      <w:r w:rsidRPr="00E21D5F">
        <w:rPr>
          <w:rFonts w:ascii="仿宋_GB2312" w:eastAsia="仿宋_GB2312" w:hint="eastAsia"/>
          <w:sz w:val="32"/>
          <w:szCs w:val="32"/>
        </w:rPr>
        <w:t>日，应</w:t>
      </w:r>
      <w:r w:rsidRPr="00E21D5F">
        <w:rPr>
          <w:rFonts w:ascii="仿宋_GB2312" w:eastAsia="仿宋_GB2312"/>
          <w:sz w:val="32"/>
          <w:szCs w:val="32"/>
        </w:rPr>
        <w:t>Jindal Stainless Limited</w:t>
      </w:r>
      <w:r w:rsidRPr="00E21D5F">
        <w:rPr>
          <w:rFonts w:ascii="仿宋_GB2312" w:eastAsia="仿宋_GB2312" w:hint="eastAsia"/>
          <w:sz w:val="32"/>
          <w:szCs w:val="32"/>
        </w:rPr>
        <w:t>的申请，印度对来自中国、中国台湾、韩国、欧盟、南非、泰国和美国的不锈钢冷轧平板（</w:t>
      </w:r>
      <w:r w:rsidRPr="00E21D5F">
        <w:rPr>
          <w:rFonts w:ascii="仿宋_GB2312" w:eastAsia="仿宋_GB2312"/>
          <w:sz w:val="32"/>
          <w:szCs w:val="32"/>
        </w:rPr>
        <w:t>Cold-Rolled Flat Products of Stainless Steel</w:t>
      </w:r>
      <w:r w:rsidRPr="00E21D5F">
        <w:rPr>
          <w:rFonts w:ascii="仿宋_GB2312" w:eastAsia="仿宋_GB2312" w:hint="eastAsia"/>
          <w:sz w:val="32"/>
          <w:szCs w:val="32"/>
        </w:rPr>
        <w:t>）启动反规避立案调查。涉案产品海关编码为</w:t>
      </w:r>
      <w:r w:rsidRPr="00E21D5F">
        <w:rPr>
          <w:rFonts w:ascii="仿宋_GB2312" w:eastAsia="仿宋_GB2312"/>
          <w:sz w:val="32"/>
          <w:szCs w:val="32"/>
        </w:rPr>
        <w:t>7219.31</w:t>
      </w:r>
      <w:r w:rsidRPr="00E21D5F">
        <w:rPr>
          <w:rFonts w:ascii="仿宋_GB2312" w:eastAsia="仿宋_GB2312" w:hint="eastAsia"/>
          <w:sz w:val="32"/>
          <w:szCs w:val="32"/>
        </w:rPr>
        <w:t>、</w:t>
      </w:r>
      <w:r w:rsidRPr="00E21D5F">
        <w:rPr>
          <w:rFonts w:ascii="仿宋_GB2312" w:eastAsia="仿宋_GB2312"/>
          <w:sz w:val="32"/>
          <w:szCs w:val="32"/>
        </w:rPr>
        <w:t>7219.32</w:t>
      </w:r>
      <w:r w:rsidRPr="00E21D5F">
        <w:rPr>
          <w:rFonts w:ascii="仿宋_GB2312" w:eastAsia="仿宋_GB2312" w:hint="eastAsia"/>
          <w:sz w:val="32"/>
          <w:szCs w:val="32"/>
        </w:rPr>
        <w:t>、</w:t>
      </w:r>
      <w:r w:rsidRPr="00E21D5F">
        <w:rPr>
          <w:rFonts w:ascii="仿宋_GB2312" w:eastAsia="仿宋_GB2312"/>
          <w:sz w:val="32"/>
          <w:szCs w:val="32"/>
        </w:rPr>
        <w:t>7219.33</w:t>
      </w:r>
      <w:r w:rsidRPr="00E21D5F">
        <w:rPr>
          <w:rFonts w:ascii="仿宋_GB2312" w:eastAsia="仿宋_GB2312" w:hint="eastAsia"/>
          <w:sz w:val="32"/>
          <w:szCs w:val="32"/>
        </w:rPr>
        <w:t>、</w:t>
      </w:r>
      <w:r w:rsidRPr="00E21D5F">
        <w:rPr>
          <w:rFonts w:ascii="仿宋_GB2312" w:eastAsia="仿宋_GB2312"/>
          <w:sz w:val="32"/>
          <w:szCs w:val="32"/>
        </w:rPr>
        <w:t>7219.34</w:t>
      </w:r>
      <w:r w:rsidRPr="00E21D5F">
        <w:rPr>
          <w:rFonts w:ascii="仿宋_GB2312" w:eastAsia="仿宋_GB2312" w:hint="eastAsia"/>
          <w:sz w:val="32"/>
          <w:szCs w:val="32"/>
        </w:rPr>
        <w:t>、</w:t>
      </w:r>
      <w:r w:rsidRPr="00E21D5F">
        <w:rPr>
          <w:rFonts w:ascii="仿宋_GB2312" w:eastAsia="仿宋_GB2312"/>
          <w:sz w:val="32"/>
          <w:szCs w:val="32"/>
        </w:rPr>
        <w:t>7219.35</w:t>
      </w:r>
      <w:r w:rsidRPr="00E21D5F">
        <w:rPr>
          <w:rFonts w:ascii="仿宋_GB2312" w:eastAsia="仿宋_GB2312" w:hint="eastAsia"/>
          <w:sz w:val="32"/>
          <w:szCs w:val="32"/>
        </w:rPr>
        <w:t>、</w:t>
      </w:r>
      <w:r w:rsidRPr="00E21D5F">
        <w:rPr>
          <w:rFonts w:ascii="仿宋_GB2312" w:eastAsia="仿宋_GB2312"/>
          <w:sz w:val="32"/>
          <w:szCs w:val="32"/>
        </w:rPr>
        <w:t>7219.90</w:t>
      </w:r>
      <w:r w:rsidRPr="00E21D5F">
        <w:rPr>
          <w:rFonts w:ascii="仿宋_GB2312" w:eastAsia="仿宋_GB2312" w:hint="eastAsia"/>
          <w:sz w:val="32"/>
          <w:szCs w:val="32"/>
        </w:rPr>
        <w:t>。</w:t>
      </w:r>
    </w:p>
    <w:p w:rsidR="00E21D5F" w:rsidRPr="00E21D5F" w:rsidRDefault="00E21D5F" w:rsidP="00E21D5F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/>
          <w:sz w:val="32"/>
          <w:szCs w:val="32"/>
        </w:rPr>
      </w:pPr>
      <w:r w:rsidRPr="00E21D5F">
        <w:rPr>
          <w:rFonts w:ascii="仿宋_GB2312" w:eastAsia="仿宋_GB2312" w:hint="eastAsia"/>
          <w:sz w:val="32"/>
          <w:szCs w:val="32"/>
        </w:rPr>
        <w:t>本案的调查期为</w:t>
      </w:r>
      <w:r w:rsidRPr="00E21D5F">
        <w:rPr>
          <w:rFonts w:ascii="仿宋_GB2312" w:eastAsia="仿宋_GB2312"/>
          <w:sz w:val="32"/>
          <w:szCs w:val="32"/>
        </w:rPr>
        <w:t>2014</w:t>
      </w:r>
      <w:r w:rsidRPr="00E21D5F">
        <w:rPr>
          <w:rFonts w:ascii="仿宋_GB2312" w:eastAsia="仿宋_GB2312" w:hint="eastAsia"/>
          <w:sz w:val="32"/>
          <w:szCs w:val="32"/>
        </w:rPr>
        <w:t>年</w:t>
      </w:r>
      <w:r w:rsidRPr="00E21D5F">
        <w:rPr>
          <w:rFonts w:ascii="仿宋_GB2312" w:eastAsia="仿宋_GB2312"/>
          <w:sz w:val="32"/>
          <w:szCs w:val="32"/>
        </w:rPr>
        <w:t>7</w:t>
      </w:r>
      <w:r w:rsidRPr="00E21D5F">
        <w:rPr>
          <w:rFonts w:ascii="仿宋_GB2312" w:eastAsia="仿宋_GB2312" w:hint="eastAsia"/>
          <w:sz w:val="32"/>
          <w:szCs w:val="32"/>
        </w:rPr>
        <w:t>月～</w:t>
      </w:r>
      <w:r w:rsidRPr="00E21D5F">
        <w:rPr>
          <w:rFonts w:ascii="仿宋_GB2312" w:eastAsia="仿宋_GB2312"/>
          <w:sz w:val="32"/>
          <w:szCs w:val="32"/>
        </w:rPr>
        <w:t>2015</w:t>
      </w:r>
      <w:r w:rsidRPr="00E21D5F">
        <w:rPr>
          <w:rFonts w:ascii="仿宋_GB2312" w:eastAsia="仿宋_GB2312" w:hint="eastAsia"/>
          <w:sz w:val="32"/>
          <w:szCs w:val="32"/>
        </w:rPr>
        <w:t>年</w:t>
      </w:r>
      <w:r w:rsidRPr="00E21D5F">
        <w:rPr>
          <w:rFonts w:ascii="仿宋_GB2312" w:eastAsia="仿宋_GB2312"/>
          <w:sz w:val="32"/>
          <w:szCs w:val="32"/>
        </w:rPr>
        <w:t>9</w:t>
      </w:r>
      <w:r w:rsidRPr="00E21D5F">
        <w:rPr>
          <w:rFonts w:ascii="仿宋_GB2312" w:eastAsia="仿宋_GB2312" w:hint="eastAsia"/>
          <w:sz w:val="32"/>
          <w:szCs w:val="32"/>
        </w:rPr>
        <w:t>月。申诉方指出，原反倾销措施被调查产品的宽度介于</w:t>
      </w:r>
      <w:r w:rsidRPr="00E21D5F">
        <w:rPr>
          <w:rFonts w:ascii="仿宋_GB2312" w:eastAsia="仿宋_GB2312"/>
          <w:sz w:val="32"/>
          <w:szCs w:val="32"/>
        </w:rPr>
        <w:t>600mm</w:t>
      </w:r>
      <w:r w:rsidRPr="00E21D5F">
        <w:rPr>
          <w:rFonts w:ascii="仿宋_GB2312" w:eastAsia="仿宋_GB2312" w:hint="eastAsia"/>
          <w:sz w:val="32"/>
          <w:szCs w:val="32"/>
        </w:rPr>
        <w:t>～</w:t>
      </w:r>
      <w:r w:rsidRPr="00E21D5F">
        <w:rPr>
          <w:rFonts w:ascii="仿宋_GB2312" w:eastAsia="仿宋_GB2312"/>
          <w:sz w:val="32"/>
          <w:szCs w:val="32"/>
        </w:rPr>
        <w:t>1250mm</w:t>
      </w:r>
      <w:r w:rsidRPr="00E21D5F">
        <w:rPr>
          <w:rFonts w:ascii="仿宋_GB2312" w:eastAsia="仿宋_GB2312" w:hint="eastAsia"/>
          <w:sz w:val="32"/>
          <w:szCs w:val="32"/>
        </w:rPr>
        <w:t>之间，涉案国出口商通过出口宽度大于</w:t>
      </w:r>
      <w:r w:rsidRPr="00E21D5F">
        <w:rPr>
          <w:rFonts w:ascii="仿宋_GB2312" w:eastAsia="仿宋_GB2312"/>
          <w:sz w:val="32"/>
          <w:szCs w:val="32"/>
        </w:rPr>
        <w:t>1250mm</w:t>
      </w:r>
      <w:r w:rsidRPr="00E21D5F">
        <w:rPr>
          <w:rFonts w:ascii="仿宋_GB2312" w:eastAsia="仿宋_GB2312" w:hint="eastAsia"/>
          <w:sz w:val="32"/>
          <w:szCs w:val="32"/>
        </w:rPr>
        <w:t>的同特质产品来规避反倾销措施。</w:t>
      </w:r>
    </w:p>
    <w:p w:rsidR="00E21D5F" w:rsidRPr="00E21D5F" w:rsidRDefault="00E21D5F" w:rsidP="00E21D5F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/>
          <w:sz w:val="32"/>
          <w:szCs w:val="32"/>
        </w:rPr>
      </w:pPr>
      <w:r w:rsidRPr="00E21D5F">
        <w:rPr>
          <w:rFonts w:ascii="仿宋_GB2312" w:eastAsia="仿宋_GB2312"/>
          <w:sz w:val="32"/>
          <w:szCs w:val="32"/>
        </w:rPr>
        <w:t>2015</w:t>
      </w:r>
      <w:r w:rsidRPr="00E21D5F">
        <w:rPr>
          <w:rFonts w:ascii="仿宋_GB2312" w:eastAsia="仿宋_GB2312" w:hint="eastAsia"/>
          <w:sz w:val="32"/>
          <w:szCs w:val="32"/>
        </w:rPr>
        <w:t>年</w:t>
      </w:r>
      <w:r w:rsidRPr="00E21D5F">
        <w:rPr>
          <w:rFonts w:ascii="仿宋_GB2312" w:eastAsia="仿宋_GB2312"/>
          <w:sz w:val="32"/>
          <w:szCs w:val="32"/>
        </w:rPr>
        <w:t>10</w:t>
      </w:r>
      <w:r w:rsidRPr="00E21D5F">
        <w:rPr>
          <w:rFonts w:ascii="仿宋_GB2312" w:eastAsia="仿宋_GB2312" w:hint="eastAsia"/>
          <w:sz w:val="32"/>
          <w:szCs w:val="32"/>
        </w:rPr>
        <w:t>月，印度对中国、中国台湾、韩国、欧盟、南非、泰国和美国的不锈钢冷轧平板</w:t>
      </w:r>
      <w:proofErr w:type="gramStart"/>
      <w:r w:rsidRPr="00E21D5F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E21D5F">
        <w:rPr>
          <w:rFonts w:ascii="仿宋_GB2312" w:eastAsia="仿宋_GB2312" w:hint="eastAsia"/>
          <w:sz w:val="32"/>
          <w:szCs w:val="32"/>
        </w:rPr>
        <w:t>反倾销日落复审裁决，建议对来自中国大陆的被调查产品征收</w:t>
      </w:r>
      <w:r w:rsidRPr="00E21D5F">
        <w:rPr>
          <w:rFonts w:ascii="仿宋_GB2312" w:eastAsia="仿宋_GB2312"/>
          <w:sz w:val="32"/>
          <w:szCs w:val="32"/>
        </w:rPr>
        <w:t>57.39%</w:t>
      </w:r>
      <w:r w:rsidRPr="00E21D5F">
        <w:rPr>
          <w:rFonts w:ascii="仿宋_GB2312" w:eastAsia="仿宋_GB2312" w:hint="eastAsia"/>
          <w:sz w:val="32"/>
          <w:szCs w:val="32"/>
        </w:rPr>
        <w:t>的反倾销税。</w:t>
      </w:r>
    </w:p>
    <w:p w:rsidR="004C783F" w:rsidRPr="00E21D5F" w:rsidRDefault="004C783F" w:rsidP="00E21D5F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F64B6" w:rsidRPr="007A032F" w:rsidRDefault="00CF64B6" w:rsidP="007A032F">
      <w:pPr>
        <w:ind w:firstLine="645"/>
        <w:rPr>
          <w:rFonts w:ascii="仿宋_GB2312" w:eastAsia="仿宋_GB2312"/>
          <w:sz w:val="24"/>
          <w:szCs w:val="24"/>
        </w:rPr>
      </w:pPr>
      <w:bookmarkStart w:id="15" w:name="_GoBack"/>
      <w:bookmarkEnd w:id="14"/>
      <w:bookmarkEnd w:id="15"/>
    </w:p>
    <w:sectPr w:rsidR="00CF64B6" w:rsidRPr="007A032F" w:rsidSect="007A032F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45" w:rsidRDefault="00172745" w:rsidP="00140381">
      <w:pPr>
        <w:spacing w:line="240" w:lineRule="auto"/>
      </w:pPr>
      <w:r>
        <w:separator/>
      </w:r>
    </w:p>
  </w:endnote>
  <w:endnote w:type="continuationSeparator" w:id="0">
    <w:p w:rsidR="00172745" w:rsidRDefault="00172745" w:rsidP="00140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9844"/>
      <w:docPartObj>
        <w:docPartGallery w:val="Page Numbers (Bottom of Page)"/>
        <w:docPartUnique/>
      </w:docPartObj>
    </w:sdtPr>
    <w:sdtEndPr/>
    <w:sdtContent>
      <w:p w:rsidR="007A032F" w:rsidRDefault="0017274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BCD" w:rsidRPr="002A6BCD">
          <w:rPr>
            <w:noProof/>
            <w:lang w:val="zh-CN"/>
          </w:rPr>
          <w:t>-</w:t>
        </w:r>
        <w:r w:rsidR="002A6BCD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7A032F" w:rsidRDefault="007A03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45" w:rsidRDefault="00172745" w:rsidP="00140381">
      <w:pPr>
        <w:spacing w:line="240" w:lineRule="auto"/>
      </w:pPr>
      <w:r>
        <w:separator/>
      </w:r>
    </w:p>
  </w:footnote>
  <w:footnote w:type="continuationSeparator" w:id="0">
    <w:p w:rsidR="00172745" w:rsidRDefault="00172745" w:rsidP="001403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D80"/>
    <w:multiLevelType w:val="hybridMultilevel"/>
    <w:tmpl w:val="7C9CF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29480A"/>
    <w:multiLevelType w:val="hybridMultilevel"/>
    <w:tmpl w:val="3BF0CDA2"/>
    <w:lvl w:ilvl="0" w:tplc="B6902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9B4172"/>
    <w:multiLevelType w:val="hybridMultilevel"/>
    <w:tmpl w:val="D820F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4F0D2F"/>
    <w:multiLevelType w:val="hybridMultilevel"/>
    <w:tmpl w:val="0A4E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774AB5"/>
    <w:multiLevelType w:val="hybridMultilevel"/>
    <w:tmpl w:val="FE7A2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381"/>
    <w:rsid w:val="00031B69"/>
    <w:rsid w:val="00045FA3"/>
    <w:rsid w:val="00074228"/>
    <w:rsid w:val="000A4B15"/>
    <w:rsid w:val="000C18D9"/>
    <w:rsid w:val="000C5561"/>
    <w:rsid w:val="000D5CA1"/>
    <w:rsid w:val="000E3008"/>
    <w:rsid w:val="000E5DDF"/>
    <w:rsid w:val="000F16D7"/>
    <w:rsid w:val="00140381"/>
    <w:rsid w:val="00145D52"/>
    <w:rsid w:val="0016134F"/>
    <w:rsid w:val="00172745"/>
    <w:rsid w:val="001728F1"/>
    <w:rsid w:val="00180D89"/>
    <w:rsid w:val="001B5832"/>
    <w:rsid w:val="001B7557"/>
    <w:rsid w:val="001D3941"/>
    <w:rsid w:val="001E78B8"/>
    <w:rsid w:val="00211B73"/>
    <w:rsid w:val="00220ADE"/>
    <w:rsid w:val="00221FFB"/>
    <w:rsid w:val="002509BB"/>
    <w:rsid w:val="002563AF"/>
    <w:rsid w:val="002620EF"/>
    <w:rsid w:val="0027333F"/>
    <w:rsid w:val="00280672"/>
    <w:rsid w:val="0028610A"/>
    <w:rsid w:val="002A6BCD"/>
    <w:rsid w:val="002B1CE3"/>
    <w:rsid w:val="002B2701"/>
    <w:rsid w:val="002B288F"/>
    <w:rsid w:val="002B3BE2"/>
    <w:rsid w:val="002F1032"/>
    <w:rsid w:val="002F61E2"/>
    <w:rsid w:val="00310D29"/>
    <w:rsid w:val="003264D1"/>
    <w:rsid w:val="003313DB"/>
    <w:rsid w:val="00337F01"/>
    <w:rsid w:val="00340557"/>
    <w:rsid w:val="00346D26"/>
    <w:rsid w:val="0035439D"/>
    <w:rsid w:val="0036184E"/>
    <w:rsid w:val="00373D0B"/>
    <w:rsid w:val="003806E6"/>
    <w:rsid w:val="00380871"/>
    <w:rsid w:val="0039549D"/>
    <w:rsid w:val="003B3F85"/>
    <w:rsid w:val="003C5418"/>
    <w:rsid w:val="003D0B42"/>
    <w:rsid w:val="003D432B"/>
    <w:rsid w:val="003E74C7"/>
    <w:rsid w:val="00424F3D"/>
    <w:rsid w:val="00432106"/>
    <w:rsid w:val="00435EB3"/>
    <w:rsid w:val="004500BF"/>
    <w:rsid w:val="00453AF9"/>
    <w:rsid w:val="00454C36"/>
    <w:rsid w:val="004836EF"/>
    <w:rsid w:val="00484221"/>
    <w:rsid w:val="0048624C"/>
    <w:rsid w:val="00492BB3"/>
    <w:rsid w:val="004C433A"/>
    <w:rsid w:val="004C50F3"/>
    <w:rsid w:val="004C783F"/>
    <w:rsid w:val="004D4A9D"/>
    <w:rsid w:val="004D5B57"/>
    <w:rsid w:val="004F446F"/>
    <w:rsid w:val="0050611D"/>
    <w:rsid w:val="00510FCF"/>
    <w:rsid w:val="0052150B"/>
    <w:rsid w:val="0052708B"/>
    <w:rsid w:val="005313CF"/>
    <w:rsid w:val="00556DC1"/>
    <w:rsid w:val="0057573E"/>
    <w:rsid w:val="00576BA4"/>
    <w:rsid w:val="0058210E"/>
    <w:rsid w:val="00590369"/>
    <w:rsid w:val="00596627"/>
    <w:rsid w:val="005A0D9B"/>
    <w:rsid w:val="005A6978"/>
    <w:rsid w:val="005C6352"/>
    <w:rsid w:val="005C6B98"/>
    <w:rsid w:val="005D220F"/>
    <w:rsid w:val="005D3C5A"/>
    <w:rsid w:val="006063BC"/>
    <w:rsid w:val="00633F0F"/>
    <w:rsid w:val="0065131F"/>
    <w:rsid w:val="0065697D"/>
    <w:rsid w:val="00687538"/>
    <w:rsid w:val="006A7C51"/>
    <w:rsid w:val="006C5828"/>
    <w:rsid w:val="006C7E24"/>
    <w:rsid w:val="006D5B25"/>
    <w:rsid w:val="0070717C"/>
    <w:rsid w:val="00724D99"/>
    <w:rsid w:val="00735C19"/>
    <w:rsid w:val="0074117F"/>
    <w:rsid w:val="00743917"/>
    <w:rsid w:val="00770A53"/>
    <w:rsid w:val="0077744E"/>
    <w:rsid w:val="007936CA"/>
    <w:rsid w:val="007A032F"/>
    <w:rsid w:val="007B390B"/>
    <w:rsid w:val="007B539A"/>
    <w:rsid w:val="007C2BCA"/>
    <w:rsid w:val="007E0348"/>
    <w:rsid w:val="007F51A7"/>
    <w:rsid w:val="007F7390"/>
    <w:rsid w:val="00800429"/>
    <w:rsid w:val="00801FA8"/>
    <w:rsid w:val="00812C50"/>
    <w:rsid w:val="00825C7F"/>
    <w:rsid w:val="00851014"/>
    <w:rsid w:val="00852E00"/>
    <w:rsid w:val="008840C8"/>
    <w:rsid w:val="00885CF2"/>
    <w:rsid w:val="00891435"/>
    <w:rsid w:val="008935AA"/>
    <w:rsid w:val="008B50A9"/>
    <w:rsid w:val="008D595D"/>
    <w:rsid w:val="008F1700"/>
    <w:rsid w:val="009115A3"/>
    <w:rsid w:val="0095224B"/>
    <w:rsid w:val="009533BB"/>
    <w:rsid w:val="0097222D"/>
    <w:rsid w:val="00974213"/>
    <w:rsid w:val="00977B18"/>
    <w:rsid w:val="009851E2"/>
    <w:rsid w:val="00991DD2"/>
    <w:rsid w:val="009A6A0A"/>
    <w:rsid w:val="009C35FB"/>
    <w:rsid w:val="009E289E"/>
    <w:rsid w:val="009F34E5"/>
    <w:rsid w:val="00A13EB8"/>
    <w:rsid w:val="00A17BE0"/>
    <w:rsid w:val="00A453C8"/>
    <w:rsid w:val="00A641A7"/>
    <w:rsid w:val="00A641DE"/>
    <w:rsid w:val="00A6445E"/>
    <w:rsid w:val="00A82ADA"/>
    <w:rsid w:val="00A908FD"/>
    <w:rsid w:val="00A92C3C"/>
    <w:rsid w:val="00A95D64"/>
    <w:rsid w:val="00AB178E"/>
    <w:rsid w:val="00AC6307"/>
    <w:rsid w:val="00AD19D8"/>
    <w:rsid w:val="00AD627D"/>
    <w:rsid w:val="00AE188A"/>
    <w:rsid w:val="00AE2168"/>
    <w:rsid w:val="00AF3778"/>
    <w:rsid w:val="00AF47C3"/>
    <w:rsid w:val="00AF65A3"/>
    <w:rsid w:val="00B02802"/>
    <w:rsid w:val="00B1742A"/>
    <w:rsid w:val="00B17AD2"/>
    <w:rsid w:val="00B17D48"/>
    <w:rsid w:val="00B20ACF"/>
    <w:rsid w:val="00B2542F"/>
    <w:rsid w:val="00B43B1D"/>
    <w:rsid w:val="00B43BCE"/>
    <w:rsid w:val="00B540D7"/>
    <w:rsid w:val="00B632CC"/>
    <w:rsid w:val="00B769B6"/>
    <w:rsid w:val="00B80973"/>
    <w:rsid w:val="00BA01B0"/>
    <w:rsid w:val="00BA265E"/>
    <w:rsid w:val="00BB0382"/>
    <w:rsid w:val="00BB5B9D"/>
    <w:rsid w:val="00BC1FBC"/>
    <w:rsid w:val="00BD62DE"/>
    <w:rsid w:val="00BE3C49"/>
    <w:rsid w:val="00BE5697"/>
    <w:rsid w:val="00BF4ED0"/>
    <w:rsid w:val="00C06614"/>
    <w:rsid w:val="00C14CFA"/>
    <w:rsid w:val="00C33635"/>
    <w:rsid w:val="00C33E96"/>
    <w:rsid w:val="00C41796"/>
    <w:rsid w:val="00C44CE5"/>
    <w:rsid w:val="00C55685"/>
    <w:rsid w:val="00C6358A"/>
    <w:rsid w:val="00C82A8D"/>
    <w:rsid w:val="00CC2284"/>
    <w:rsid w:val="00CD7537"/>
    <w:rsid w:val="00CF173E"/>
    <w:rsid w:val="00CF64B6"/>
    <w:rsid w:val="00CF6C96"/>
    <w:rsid w:val="00D10B51"/>
    <w:rsid w:val="00D230EB"/>
    <w:rsid w:val="00D23323"/>
    <w:rsid w:val="00D24531"/>
    <w:rsid w:val="00D46764"/>
    <w:rsid w:val="00D5015E"/>
    <w:rsid w:val="00D70A43"/>
    <w:rsid w:val="00D81AD8"/>
    <w:rsid w:val="00D8390D"/>
    <w:rsid w:val="00D85EED"/>
    <w:rsid w:val="00D90A2F"/>
    <w:rsid w:val="00D94578"/>
    <w:rsid w:val="00D9539E"/>
    <w:rsid w:val="00D95D26"/>
    <w:rsid w:val="00DB0882"/>
    <w:rsid w:val="00DB1BC1"/>
    <w:rsid w:val="00DC00D6"/>
    <w:rsid w:val="00DE61C7"/>
    <w:rsid w:val="00DF2283"/>
    <w:rsid w:val="00DF66D3"/>
    <w:rsid w:val="00E075B4"/>
    <w:rsid w:val="00E16229"/>
    <w:rsid w:val="00E17508"/>
    <w:rsid w:val="00E21D5F"/>
    <w:rsid w:val="00E370C5"/>
    <w:rsid w:val="00E555A0"/>
    <w:rsid w:val="00E65527"/>
    <w:rsid w:val="00E801B0"/>
    <w:rsid w:val="00E83EF8"/>
    <w:rsid w:val="00E97E2E"/>
    <w:rsid w:val="00EA0790"/>
    <w:rsid w:val="00EA2C26"/>
    <w:rsid w:val="00EA7340"/>
    <w:rsid w:val="00EC0856"/>
    <w:rsid w:val="00EE1083"/>
    <w:rsid w:val="00EF23D7"/>
    <w:rsid w:val="00EF70DA"/>
    <w:rsid w:val="00F130A3"/>
    <w:rsid w:val="00F242A2"/>
    <w:rsid w:val="00F25A55"/>
    <w:rsid w:val="00F47949"/>
    <w:rsid w:val="00F62F8D"/>
    <w:rsid w:val="00F7049D"/>
    <w:rsid w:val="00F83803"/>
    <w:rsid w:val="00F94932"/>
    <w:rsid w:val="00FA0C77"/>
    <w:rsid w:val="00FB1D42"/>
    <w:rsid w:val="00FD6229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83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14038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38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3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0381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A95D6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184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FD622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82A8D"/>
  </w:style>
  <w:style w:type="character" w:styleId="a8">
    <w:name w:val="Emphasis"/>
    <w:basedOn w:val="a0"/>
    <w:uiPriority w:val="20"/>
    <w:qFormat/>
    <w:rsid w:val="00145D52"/>
    <w:rPr>
      <w:b w:val="0"/>
      <w:bCs w:val="0"/>
      <w:i w:val="0"/>
      <w:iCs w:val="0"/>
      <w:color w:val="CC0033"/>
    </w:rPr>
  </w:style>
  <w:style w:type="character" w:styleId="a9">
    <w:name w:val="Strong"/>
    <w:basedOn w:val="a0"/>
    <w:uiPriority w:val="22"/>
    <w:qFormat/>
    <w:rsid w:val="00F62F8D"/>
    <w:rPr>
      <w:b/>
      <w:bCs/>
    </w:rPr>
  </w:style>
  <w:style w:type="paragraph" w:customStyle="1" w:styleId="default">
    <w:name w:val="default"/>
    <w:basedOn w:val="a"/>
    <w:rsid w:val="00B43B1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A13E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4951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31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9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EA6AA"/>
                        <w:left w:val="single" w:sz="6" w:space="0" w:color="9EA6AA"/>
                        <w:bottom w:val="single" w:sz="6" w:space="0" w:color="9EA6AA"/>
                        <w:right w:val="single" w:sz="6" w:space="0" w:color="9EA6AA"/>
                      </w:divBdr>
                      <w:divsChild>
                        <w:div w:id="383721121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6848">
                                          <w:blockQuote w:val="1"/>
                                          <w:marLeft w:val="1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2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06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7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9140">
              <w:blockQuote w:val="1"/>
              <w:marLeft w:val="1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2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9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5C3D-9C04-4141-B7EC-106C0D95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>CCPIT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史晓初</dc:creator>
  <cp:lastModifiedBy>admin</cp:lastModifiedBy>
  <cp:revision>3</cp:revision>
  <cp:lastPrinted>2015-01-15T05:22:00Z</cp:lastPrinted>
  <dcterms:created xsi:type="dcterms:W3CDTF">2016-02-26T01:30:00Z</dcterms:created>
  <dcterms:modified xsi:type="dcterms:W3CDTF">2016-03-10T02:21:00Z</dcterms:modified>
</cp:coreProperties>
</file>